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34d39a0214f1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17546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MEDICINSKA ŠKOLA U RIJECI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4.052.594,51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3.565.973,64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3.252.601,94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3.830.774,36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264.800,72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3.580,42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8.103,24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3.580,42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8.103,24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430.332,69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430.332,69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272.903,96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1. siječnja do 31. prosinca 2025. prihodi poslovanja ostvareni su u iznosu od 3.565.973,64 eura. Najznačajnije povećanje prihoda ostvareno je od prihoda od pruženih usluga (dopunske mjere priznavanja inozemnih stručnih kvalifikacija i najma prostora), ostalih nespomenutih prihoda (participacija učenika) i prihoda od nadležnog proračuna za financiranje rashoda poslovanja. Najznačajnije smanjenje prihoda poslovanja u odnosu na isto izvještajno razdoblje prethodne godine bilježi se na prihodima od kapitalnih pomoći temeljem prijenosa EU sredstava kojih nismo imali u 2025. godini zbog završetka projekta.</w:t>
      </w:r>
    </w:p>
    <w:p>
      <w:r>
        <w:t xml:space="preserve">Rashodi poslovanja u razdoblju od 1. siječnja do 31. prosinca 2025. godine ostvareni su u iznosu od 3.830.774,36 eura. Najznačajnije povećanje rashoda evidentirano je na rashodima za zaposlene uslijed povećanja plaća. Najznačajnije smanjenje rashoda bilježi se na rashodima za ostale usluge.</w:t>
      </w:r>
    </w:p>
    <w:p>
      <w:r>
        <w:t xml:space="preserve">U navedenom razdoblju nema ostvarenih prihoda od prodaje nefinancijske imovine, dok su rashodi za nabavu nefinancijske imovine ostvareni u iznosu od 8.103,24 eura. Navedeni rashod odnosi se na nabavu: uredske opreme i namještaja u iznosu od 6.155,20 eura, opreme za ostale namjene u iznosu od 797,24 eura i knjiga i stručne literature za knjižnicu, te udžbenika u iznosu od 1.150,80 eura.</w:t>
      </w:r>
    </w:p>
    <w:p>
      <w:r>
        <w:t xml:space="preserve">U navedenom razdoblju nije bilo ostvarenih primitaka i izdataka od financijske imovine i zaduživanja.</w:t>
      </w:r>
    </w:p>
    <w:p>
      <w:r>
        <w:t xml:space="preserve">U razdoblju od 1. siječnja do 31. prosinca 2025. godine ostvaren je manjak prihoda poslovanja u iznosu od 264.800,72 eura, manjak prihoda od nefinancijske imovine u iznosu od 8.103,24 eura, slijedom čega je na kraju izvještajnog razdoblja ostvaren ukupan manjak prihoda i primitaka u iznosu od 272.903,96 eura. Kada umanjimo ostvareni manjak s prenesenim viškom prihoda iz prethodne godine koji iznosi 5.390,33 eura dobivamo ukupan manjak prihoda i primitaka za pokriće u 2026. godini u iznosu od 267.513,63 eura.</w:t>
      </w:r>
    </w:p>
    <w:p>
      <w:r>
        <w:t xml:space="preserve">Manjak prihoda i primitaka odnosi se na: plaću za mjesec prosinac 2025., ugovore o djelu, materijalna prava za prosinac 2025. i naknadu zbog nezapošljavanja osoba s invaliditetom za mjesec prosinac 2025. godine koji dospijevaju na plaćanje u siječnju 2026. godine kada se knjiži i prihod na računu 6361. Također, manjak čine i režijski troškovi koji dospijevaju na plaćanje u siječnju 2026. kada se knjiži prihod na računu 6711.</w:t>
      </w:r>
    </w:p>
    <w:p>
      <w:r>
        <w:rPr>
          <w:b/>
        </w:rPr>
        <w:t xml:space="preserve">Manjak prihoda i primitaka u 2025. godini iz izvora pomoći je metodološki manjak i posljedica je promjene računovodstvene metodologije (ukidanje kontinuiranih rashoda budućih razdoblja), a ne povećanja stvarnih rashoda.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4.052.594,51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3.565.973,64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88,0</w:t>
            </w:r>
          </w:p>
        </w:tc>
      </w:tr>
    </w:tbl>
    <w:p>
      <w:pPr>
        <w:spacing w:before="0" w:after="0"/>
      </w:pPr>
    </w:p>
    <w:p>
      <w:r>
        <w:t xml:space="preserve">Ukupni prihodi poslovanja iznose 3.565.973,64 eura i manji su za 12% u odnosu na isto izvještajno razdoblje prethodne godine. Prethodne godine ukupne prihode poslovanja uvećale su kapitalne pomoći temeljem prijenosa EU sredstava u iznosu od 789.264,42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38.581,49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45.030,00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116,7</w:t>
            </w:r>
          </w:p>
        </w:tc>
      </w:tr>
    </w:tbl>
    <w:p>
      <w:pPr>
        <w:spacing w:before="0" w:after="0"/>
      </w:pPr>
    </w:p>
    <w:p>
      <w:r>
        <w:t xml:space="preserve">6526 – Ostali nespomenuti prihodi iznose 45.030,00 eura i odnose se na na participacije učenika zbog povećanih troškova školovanja sukladno Odluci Ministarstva znanosti i obrazovanja o upisu učenika u I. razred srednje škole (XIX.) i suglasnosti Osnivača. Ostvareni prihodi veći su za 16,7% sukladno broju učenika i povećanim cijenama participacija za sve smjerove zbog rasta cijena materijala, sirovina i drugih inputa potrebnih za osiguravanje uvjeta 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18.897,16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29.299,58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155,0</w:t>
            </w:r>
          </w:p>
        </w:tc>
      </w:tr>
    </w:tbl>
    <w:p>
      <w:pPr>
        <w:spacing w:before="0" w:after="0"/>
      </w:pPr>
    </w:p>
    <w:p>
      <w:r>
        <w:t xml:space="preserve">6615 - Prihodi od pruženih usluga iznose 29.299,58 eura i odnose se na: prihode od  usluga najma prostora za automate za hranu i piće (1.114,80 eura), prihode od usluga pedagoške pratnje učenika (15.730,00 eura), prihode od dopunske mjere priznavanje inozemnih stručnih kvalifikacija za medicinske sestre (9.764,28 eura) te  za farmaceute (1.275,50 eura) i prihode od najma sportske dvorane (1.415,00 eura). Dopunska mjera provodi se sukladno članku 18. Zakona o reguliranim profesijama i priznavanju inozemnih stručnih kvalifikacija i Ugovorima sklopljenim s polaznicima. Prihodi su veći za 55% u odnosu na isto razdoblje prethodne godine zbog više polaznika dopunske mjere i prihoda od najma sportske dvorane Učeničkom domu Kvarner.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195.452,33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212.141,04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108,5</w:t>
            </w:r>
          </w:p>
        </w:tc>
      </w:tr>
    </w:tbl>
    <w:p>
      <w:pPr>
        <w:spacing w:before="0" w:after="0"/>
      </w:pPr>
    </w:p>
    <w:p>
      <w:r>
        <w:t xml:space="preserve">6711 – Prihodi iz proračuna Primorsko-goranske županije iznose 212.141,04 eura  i veći su za 8,5%  u odnosu na isto izvještajno razdoblje prethodne godine. Razlog povećanju prihoda je nabava veće količine lož ulja u odnosu na isto razdoblje prethodne godine. Prihodi za decentralizirane funkcije koji osiguravaju uvjeta rada iznose 197.466,39 eura, prihodi za plaću i ostala materijalna prava pomoćnika u nastavi iznose 10.753,41 eur, prihodi za natjecanja iznose 1.933,24 eura, a hitna intervencija financirana iz izvora 111 – opći prihodi i primici 1.988,00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2.417.329,42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2.868.498,36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118,7</w:t>
            </w:r>
          </w:p>
        </w:tc>
      </w:tr>
    </w:tbl>
    <w:p>
      <w:pPr>
        <w:spacing w:before="0" w:after="0"/>
      </w:pPr>
    </w:p>
    <w:p>
      <w:r>
        <w:t xml:space="preserve">Plaće za redovan rad na računu 3111 iznose 2.868.498,36 eura i povećane su u odnosu na isto izvještajno razdoblje prethodne godine za 18,7%. Razlog povećanju je rast osnovice plaće, a u skladu s rastom plaća, rasli su i doprinosi na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59.697,38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83.887,73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140,5</w:t>
            </w:r>
          </w:p>
        </w:tc>
      </w:tr>
    </w:tbl>
    <w:p>
      <w:pPr>
        <w:spacing w:before="0" w:after="0"/>
      </w:pPr>
    </w:p>
    <w:p>
      <w:r>
        <w:t xml:space="preserve">Plaće za prekovremeni rad na računu 3113 iznose 83.887,73 eura i veće su za 40,5% u odnosu na isto izvještajno razdoblje prethodne godine. Prekovremeni sati  veći su zbog veće potrebe za zamjenama, te zbog rasta osnovice.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21.427,72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29.133,97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136,0</w:t>
            </w:r>
          </w:p>
        </w:tc>
      </w:tr>
    </w:tbl>
    <w:p>
      <w:pPr>
        <w:spacing w:before="0" w:after="0"/>
      </w:pPr>
    </w:p>
    <w:p>
      <w:r>
        <w:t xml:space="preserve">3211- Službena putovanja iznose 29.133,97 eura i veća su za 36% u odnosu na isto izvještajno razdoblje prethodne godine. Razlog povećanju je veći broj organiziranih stručnih savjetovanja, te školskih izleta i natjecanja sukladno Godišnjem planu i programu rada.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41.438,24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53.002,29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127,9</w:t>
            </w:r>
          </w:p>
        </w:tc>
      </w:tr>
    </w:tbl>
    <w:p>
      <w:pPr>
        <w:spacing w:before="0" w:after="0"/>
      </w:pPr>
    </w:p>
    <w:p>
      <w:r>
        <w:t xml:space="preserve">3223 – Energija  iznosi 53.002,29 eura i  veća je za 27,9% u odnosu na isto izvještajno razdoblje prethodne godine. Potrošnja je veća zbog veće potrebe za lož uljem u zajedničkoj kotlovnici s Učeničkim domom Kvarner.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10.579,25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12.433,09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</w:tbl>
    <w:p>
      <w:pPr>
        <w:spacing w:before="0" w:after="0"/>
      </w:pPr>
    </w:p>
    <w:p>
      <w:r>
        <w:t xml:space="preserve">3232 –  Usluge tekućeg i investicijskog održavanja iznose 12.433,09 eura i veće su za 17,5 % u odnosu na isto razdoblje prethodne godine zbog: popravka portuna u iznosu od 1.638,14 eura, te hitnih intervencija na sanaciji ulaznih vrata u iznosu od 1.988,00 eura i odštopavanja temeljne kanalizacije u iznosu od 959,19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6.362,18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7.928,00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</w:tbl>
    <w:p>
      <w:pPr>
        <w:spacing w:before="0" w:after="0"/>
      </w:pPr>
    </w:p>
    <w:p>
      <w:r>
        <w:t xml:space="preserve">3295 – Pristojbe i naknade iznose 7.928,00 eura i veće su za 24,6 % u odnosu na isto razdoblje prethodne godine zbog rasta naknade zbog nezapošljavanja osoba s invaliditetom.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138,3</w:t>
            </w:r>
          </w:p>
        </w:tc>
      </w:tr>
    </w:tbl>
    <w:p>
      <w:pPr>
        <w:spacing w:before="0" w:after="0"/>
      </w:pPr>
    </w:p>
    <w:p>
      <w:r>
        <w:t xml:space="preserve">3812 – Tekuće donacije u naravi iznose 2.452,50 eura. Radi se o donaciji Ministarstva rada, mirovinskog sustava, obitelji i socijalne politike za menstrualno-higijenske potrepštine za učenice.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1.555,99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6.155,20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395,6</w:t>
            </w:r>
          </w:p>
        </w:tc>
      </w:tr>
    </w:tbl>
    <w:p>
      <w:pPr>
        <w:spacing w:before="0" w:after="0"/>
      </w:pPr>
    </w:p>
    <w:p>
      <w:r>
        <w:t xml:space="preserve">4221 -  Uredska oprema i namještaj iznosi 6.155,20 eura. Nabavljena su: četiri projektora u iznosu od 1.515,00 eura, dva prijenosna računala  u iznosu od 1.050,00 eura, stolice s pločom za pisanje u iznosu od 1.300,00 eura, arhivski regal (2 kom) u iznosu od 1.500,20 eura i uredski stol (2 kom) u iznosu od 790,00 eura. Radni stolovi, prijenosno računalo i jedan projektor nabavljeni su iz donacija Adriatic osiguranja d.d., a ostala  uredska oprema i namještaj iz ovogodišnjih i prenesenih prihoda posebne namjene.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121,7</w:t>
            </w:r>
          </w:p>
        </w:tc>
      </w:tr>
    </w:tbl>
    <w:p>
      <w:pPr>
        <w:spacing w:before="0" w:after="0"/>
      </w:pPr>
    </w:p>
    <w:p>
      <w:r>
        <w:t xml:space="preserve">4227 – Uređaji, strojevi i oprema za ostale namjene iznosi 797,24 eura. Nabavljen je štednjak u iznosu od 346,45 eura, model ljudskog uha u iznosu od 103,29 eura i model bebe za edukaciju (2 kom) u iznosu od 347,50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1.592.312,86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1.477.703,72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92,8</w:t>
            </w:r>
          </w:p>
        </w:tc>
      </w:tr>
    </w:tbl>
    <w:p>
      <w:pPr>
        <w:spacing w:before="0" w:after="0"/>
      </w:pPr>
    </w:p>
    <w:p>
      <w:r>
        <w:t xml:space="preserve">Ukupna imovina na dan 31.12.2025. iznosi 1.477.703,72 eura, što predstavlja smanjenje u odnosu na prethodnu godinu.</w:t>
      </w:r>
      <w:r>
        <w:br/>
      </w:r>
      <w:r>
        <w:t xml:space="preserve">Smanjenje je posljedica redovitog obračuna ispravka vrijednosti dugotrajne imovine.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1.311.296,35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1.179.051,11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89,9</w:t>
            </w:r>
          </w:p>
        </w:tc>
      </w:tr>
    </w:tbl>
    <w:p>
      <w:pPr>
        <w:spacing w:before="0" w:after="0"/>
      </w:pPr>
    </w:p>
    <w:p>
      <w:r>
        <w:t xml:space="preserve">Dugotrajna nefinancijska imovina iznosi 1.179.051,11 eura.</w:t>
      </w:r>
    </w:p>
    <w:p>
      <w:r>
        <w:t xml:space="preserve">Najznačajnije stavke su:</w:t>
      </w:r>
    </w:p>
    <w:p>
      <w:r>
        <w:t xml:space="preserve">građevinski objekti u iznosu od 815.461,78 eura</w:t>
      </w:r>
      <w:r>
        <w:br/>
      </w:r>
      <w:r>
        <w:t xml:space="preserve">postrojenja i oprema u iznosu od 359.574,70 eura</w:t>
      </w:r>
      <w:r>
        <w:br/>
      </w:r>
      <w:r>
        <w:t xml:space="preserve">knjige u iznosu od  4.014,64 eura</w:t>
      </w:r>
      <w:r>
        <w:br/>
      </w:r>
      <w:r>
        <w:t xml:space="preserve">Smanjenje vrijednosti rezultat je obračuna ispravka vrijednosti.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iz inozemstva i od subjekata unutar općeg proračuna (šifre 1631 do 1638)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278.387,28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Potraživanja za pomoći od subjekata unutar općeg proračuna odnose se na: plaću za mjesec prosinac 2025. (276.301,36 eura), ugovore o djelu za prosinac 2025. (456,26 eura), materijalna prava za prosinac 2025. (1.047,66 eura) i naknadu zbog nezapošljavanja osoba s invaliditetom za prosinac 2025. (582,00 eura).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344,23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Iznos od 344,23 eura odnosi se na obveze proračunskih korisnika za povrat u proračun - bolovanje na teret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5.390,33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-267.513,63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-4962,8</w:t>
            </w:r>
          </w:p>
        </w:tc>
      </w:tr>
    </w:tbl>
    <w:p>
      <w:pPr>
        <w:spacing w:before="0" w:after="0"/>
      </w:pPr>
    </w:p>
    <w:p>
      <w:r>
        <w:t xml:space="preserve">U tablici je prikazana struktura rezultata prema izvorima financiranja:</w:t>
      </w:r>
    </w:p>
    <w:tbl>
      <w:tblPr>
        <w:tblStyle w:val="TableGrid"/>
        <w:tblW w:w="4180.87" w:type="pct"/>
      </w:tblPr>
      <w:tblGrid>
        <w:gridCol w:w="2406"/>
        <w:gridCol w:w="1203"/>
        <w:gridCol w:w="1203"/>
        <w:gridCol w:w="4811"/>
      </w:tblGrid>
      <w:tr>
        <w:trPr/>
        <w:tc>
          <w:tcPr>
            <w:tcW w:w="1250" w:type="pct"/>
            <w:vAlign w:val="center"/>
          </w:tcPr>
          <w:p>
            <w:r>
              <w:rPr>
                <w:b/>
              </w:rPr>
              <w:t xml:space="preserve">Izvor financiranja</w:t>
            </w:r>
          </w:p>
        </w:tc>
        <w:tc>
          <w:tcPr>
            <w:tcW w:w="625" w:type="pct"/>
            <w:vAlign w:val="center"/>
          </w:tcPr>
          <w:p>
            <w:r>
              <w:rPr>
                <w:b/>
              </w:rPr>
              <w:t xml:space="preserve">Višak +</w:t>
            </w:r>
          </w:p>
        </w:tc>
        <w:tc>
          <w:tcPr>
            <w:tcW w:w="625" w:type="pct"/>
            <w:vAlign w:val="center"/>
          </w:tcPr>
          <w:p>
            <w:r>
              <w:rPr>
                <w:b/>
              </w:rPr>
              <w:t xml:space="preserve">Metodološki manjak -</w:t>
            </w:r>
          </w:p>
        </w:tc>
        <w:tc>
          <w:tcPr>
            <w:tcW w:w="2500" w:type="pct"/>
            <w:vAlign w:val="center"/>
          </w:tcPr>
          <w:p>
            <w:r>
              <w:rPr>
                <w:b/>
              </w:rPr>
              <w:t xml:space="preserve">Višak raspoloživ i manjak za pokriće u 2026. godini</w:t>
            </w:r>
          </w:p>
        </w:tc>
      </w:tr>
      <w:tr>
        <w:trPr/>
        <w:tc>
          <w:tcPr>
            <w:tcW w:w="1250" w:type="pct"/>
            <w:vAlign w:val="center"/>
          </w:tcPr>
          <w:p>
            <w:r>
              <w:t xml:space="preserve">3215 - vlastiti prihodi</w:t>
            </w:r>
          </w:p>
        </w:tc>
        <w:tc>
          <w:tcPr>
            <w:tcW w:w="625" w:type="pct"/>
            <w:vAlign w:val="center"/>
          </w:tcPr>
          <w:p>
            <w:pPr>
              <w:keepNext/>
              <w:jc w:val="right"/>
            </w:pPr>
            <w:r>
              <w:t xml:space="preserve">5.812,17</w:t>
            </w:r>
          </w:p>
        </w:tc>
        <w:tc>
          <w:tcPr>
            <w:tcW w:w="625" w:type="pct"/>
            <w:vAlign w:val="center"/>
          </w:tcPr>
          <w:p>
            <w:pPr>
              <w:keepNext/>
              <w:jc w:val="right"/>
            </w:pPr>
            <w:r>
              <w:t xml:space="preserve"> 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right"/>
            </w:pPr>
            <w:r>
              <w:t xml:space="preserve">5.812,17</w:t>
            </w:r>
          </w:p>
        </w:tc>
      </w:tr>
      <w:tr>
        <w:trPr/>
        <w:tc>
          <w:tcPr>
            <w:tcW w:w="1250" w:type="pct"/>
            <w:vAlign w:val="center"/>
          </w:tcPr>
          <w:p>
            <w:r>
              <w:t xml:space="preserve">4421 - PGŽ - prihodi za decentralizirane funkcije</w:t>
            </w:r>
          </w:p>
        </w:tc>
        <w:tc>
          <w:tcPr>
            <w:tcW w:w="625" w:type="pct"/>
            <w:vAlign w:val="center"/>
          </w:tcPr>
          <w:p>
            <w:pPr>
              <w:keepNext/>
              <w:jc w:val="right"/>
            </w:pPr>
            <w:r>
              <w:t xml:space="preserve"> </w:t>
            </w:r>
          </w:p>
        </w:tc>
        <w:tc>
          <w:tcPr>
            <w:tcW w:w="625" w:type="pct"/>
            <w:vAlign w:val="center"/>
          </w:tcPr>
          <w:p>
            <w:pPr>
              <w:keepNext/>
              <w:jc w:val="right"/>
            </w:pPr>
            <w:r>
              <w:t xml:space="preserve">-2.592,80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right"/>
            </w:pPr>
            <w:r>
              <w:t xml:space="preserve">-2.592,80</w:t>
            </w:r>
          </w:p>
        </w:tc>
      </w:tr>
      <w:tr>
        <w:trPr/>
        <w:tc>
          <w:tcPr>
            <w:tcW w:w="1250" w:type="pct"/>
            <w:vAlign w:val="center"/>
          </w:tcPr>
          <w:p>
            <w:r>
              <w:t xml:space="preserve">4315 - prihodi za posebne namjene</w:t>
            </w:r>
          </w:p>
        </w:tc>
        <w:tc>
          <w:tcPr>
            <w:tcW w:w="625" w:type="pct"/>
            <w:vAlign w:val="center"/>
          </w:tcPr>
          <w:p>
            <w:pPr>
              <w:keepNext/>
              <w:jc w:val="right"/>
            </w:pPr>
            <w:r>
              <w:t xml:space="preserve">8.491,45</w:t>
            </w:r>
          </w:p>
        </w:tc>
        <w:tc>
          <w:tcPr>
            <w:tcW w:w="625" w:type="pct"/>
            <w:vAlign w:val="center"/>
          </w:tcPr>
          <w:p>
            <w:pPr>
              <w:keepNext/>
              <w:jc w:val="right"/>
            </w:pPr>
            <w:r>
              <w:t xml:space="preserve"> 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right"/>
            </w:pPr>
            <w:r>
              <w:t xml:space="preserve">8.491,45</w:t>
            </w:r>
          </w:p>
        </w:tc>
      </w:tr>
      <w:tr>
        <w:trPr/>
        <w:tc>
          <w:tcPr>
            <w:tcW w:w="1250" w:type="pct"/>
            <w:vAlign w:val="center"/>
          </w:tcPr>
          <w:p>
            <w:r>
              <w:t xml:space="preserve">5215 - pomoći</w:t>
            </w:r>
          </w:p>
        </w:tc>
        <w:tc>
          <w:tcPr>
            <w:tcW w:w="625" w:type="pct"/>
            <w:vAlign w:val="center"/>
          </w:tcPr>
          <w:p>
            <w:pPr>
              <w:keepNext/>
              <w:jc w:val="right"/>
            </w:pPr>
            <w:r>
              <w:t xml:space="preserve">797,82</w:t>
            </w:r>
          </w:p>
        </w:tc>
        <w:tc>
          <w:tcPr>
            <w:tcW w:w="625" w:type="pct"/>
            <w:vAlign w:val="center"/>
          </w:tcPr>
          <w:p>
            <w:pPr>
              <w:keepNext/>
              <w:jc w:val="right"/>
            </w:pPr>
            <w:r>
              <w:t xml:space="preserve">-280.022,27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right"/>
            </w:pPr>
            <w:r>
              <w:t xml:space="preserve">-279.224,45</w:t>
            </w:r>
          </w:p>
        </w:tc>
      </w:tr>
      <w:tr>
        <w:trPr/>
        <w:tc>
          <w:tcPr>
            <w:tcW w:w="1250" w:type="pct"/>
            <w:vAlign w:val="center"/>
          </w:tcPr>
          <w:p>
            <w:r>
              <w:t xml:space="preserve">UKUPNO</w:t>
            </w:r>
          </w:p>
        </w:tc>
        <w:tc>
          <w:tcPr>
            <w:tcW w:w="625" w:type="pct"/>
            <w:vAlign w:val="center"/>
          </w:tcPr>
          <w:p>
            <w:pPr>
              <w:keepNext/>
              <w:jc w:val="right"/>
            </w:pPr>
            <w:r>
              <w:t xml:space="preserve">15.101,44</w:t>
            </w:r>
          </w:p>
        </w:tc>
        <w:tc>
          <w:tcPr>
            <w:tcW w:w="625" w:type="pct"/>
            <w:vAlign w:val="center"/>
          </w:tcPr>
          <w:p>
            <w:pPr>
              <w:keepNext/>
              <w:jc w:val="right"/>
            </w:pPr>
            <w:r>
              <w:t xml:space="preserve">-282.615,07</w:t>
            </w:r>
          </w:p>
        </w:tc>
        <w:tc>
          <w:tcPr>
            <w:tcW w:w="2500" w:type="pct"/>
            <w:vAlign w:val="center"/>
          </w:tcPr>
          <w:p>
            <w:pPr>
              <w:keepNext/>
              <w:jc w:val="right"/>
            </w:pPr>
            <w:r>
              <w:t xml:space="preserve">-267.513,63</w:t>
            </w:r>
          </w:p>
        </w:tc>
      </w:tr>
    </w:tbl>
    <w:p>
      <w:r>
        <w:t xml:space="preserve">Metodološki manjak biti će pokriven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791.478,03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267.513,63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33,8</w:t>
            </w:r>
          </w:p>
        </w:tc>
      </w:tr>
    </w:tbl>
    <w:p>
      <w:pPr>
        <w:spacing w:before="0" w:after="0"/>
      </w:pPr>
    </w:p>
    <w:p>
      <w:r>
        <w:t xml:space="preserve">Provedena je korekcija sukladno Odluci o raspodjeli rezultata za 2024. godinu te je preneseni višak prihoda poslovanja iz izvora prihodi posebne namjene u iznosu od 757,00 eura i preneseni višak prihoda iz izvora donacije u iznosu od 844,00 eura utrošen na nabavu nefinancijske imovine, te obvezne korekcije rezultata za kapitalne pomoći iz državnog proračuna u iznosu od 1.150,80 eura i kapitalnu donaciju od trgovačkih društava u iznosu od 844,00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791.478,03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4.503,44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0,6</w:t>
            </w:r>
          </w:p>
        </w:tc>
      </w:tr>
    </w:tbl>
    <w:p>
      <w:pPr>
        <w:spacing w:before="0" w:after="0"/>
      </w:pPr>
    </w:p>
    <w:p>
      <w:r>
        <w:t xml:space="preserve">Manjak prihoda od nefinancijske imovine je iz izvora prihodi posebne namjene.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926.953,35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915.476,53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98,8</w:t>
            </w:r>
          </w:p>
        </w:tc>
      </w:tr>
    </w:tbl>
    <w:p>
      <w:pPr>
        <w:spacing w:before="0" w:after="0"/>
      </w:pPr>
    </w:p>
    <w:p>
      <w:r>
        <w:t xml:space="preserve">Izvanbilančni zapisi iznose  915.476,53 eura, a odnose se na:</w:t>
      </w:r>
    </w:p>
    <w:p>
      <w:r>
        <w:t xml:space="preserve">a)     tuđu imovine dobivenu na korištenje koju čine: prijenosna računala u vrijednosti 31.269,88 eura,</w:t>
      </w:r>
    </w:p>
    <w:p>
      <w:r>
        <w:t xml:space="preserve">b)     tuđu imovinu dobivenu na korištenje – fotokopirni aparat u iznosu od 1.005,38 eura i</w:t>
      </w:r>
    </w:p>
    <w:p>
      <w:r>
        <w:t xml:space="preserve">c)     tuđu imovinu dobivenu na korištenje – zgrada u ulici Braće Branchetta 11a u vrijednosti od 883.201,27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Više srednjoškolsko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3.255.877,98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3.838.877,60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117,9</w:t>
            </w:r>
          </w:p>
        </w:tc>
      </w:tr>
    </w:tbl>
    <w:p>
      <w:pPr>
        <w:spacing w:before="0" w:after="0"/>
      </w:pPr>
    </w:p>
    <w:p>
      <w:r>
        <w:t xml:space="preserve">Ukupne rashode na 0922 – više srednjoškolsko obrazovanje (3.838.877,60 eura) čine rashodi poslovanja u iznosu od 3.830.774,36 eura i rashodi za nabavu nefinancijske imovine u iznosu od 8.103,24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145.028,48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P003 – proizvedena dugotrajna imovina kao smanjenje u vrijednosti imovine nalazi se provedeni ispravak vrijednosti dugotrajne nefinancijske imovine u iznosu od 145.028,48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4.680,00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Na P018 – proizvedena dugotrajna imovina kao povećanje u obujmu imovine nalazi se iznos od 4.680,00 eura, a odnosi se na  prijenos prava vlasništva nad opremom sa Primorsko-goranske županije na Medicinsku školu u Rijeci na temelju Odluke o prijenosu dugotrajne nefinancijske imovine (KLASA: 406-01/25-01/14, URBROJ: 2170-05/7-25-19) od 18. prosinca 2025. godine u iznosu od 4.680,00 eura.  Dugotrajnu nefinancijsku imovinu čine: školske klupe dvosjed – viši uzrast (30 kom) u iznosu od 2.595,00 eura i školske stolice – viši uzrast (60 kom) u iznosu od 2.085,00 eura.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283.393,12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V006 – Stanje obveza na kraju izvještajnog razdoblja na dan 31.12.2025. godine iznosi   283.393,12 eura. Obveze su nedospjele i odnose se na:</w:t>
      </w:r>
    </w:p>
    <w:p>
      <w:r>
        <w:t xml:space="preserve">-  obveze za zaposlene (231) – plaća, ugovori o djelu i ostala materijalna prava za prosinac 2025.  u iznosu od 277.349,02 eura,</w:t>
      </w:r>
    </w:p>
    <w:p>
      <w:r>
        <w:t xml:space="preserve">-  obveze za materijalne rashode (232)  u iznosu od 5.656,34 eura,</w:t>
      </w:r>
    </w:p>
    <w:p>
      <w:r>
        <w:t xml:space="preserve">-  obveze za financijske rashode (234) u iznosu od 43,53 eura,</w:t>
      </w:r>
    </w:p>
    <w:p>
      <w:r>
        <w:t xml:space="preserve">- ostalih tekućih obveza (276) u iznosu od 344,23 eura koje se odnose na obveze proračunskih korisnika za povrat u proračun temeljem naknade plaće za bolovanja na teret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Medicinska škola u Rijeci nema dospjelih neplaćenih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EU izvještaju pod izvorom 561 i nacionalno sufinanciranje unešena je plaća, prijevoz i ostala materijalna prava pomoćnika u nastavi. Škola je imala jednog pomoćnika u nastavi u razdoblju od 01. siječnja do 31. kolovoza 2025. godine. Iz izvora 561 - Europski socijalni fond plus ostvareno je 5.860,81 eur prihoda koji su u potpunosti utrošeni na plaću, prijevoz i ostala materijalna prava pomoćnika u nastavi, a iz nacionalnog sufinanciranja u istu svrhu ostvareno je i utrošeno je 4.892,60 eura.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883020b6e344d3" /></Relationships>
</file>